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1A77C6B5"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 xml:space="preserve">NOTARIA </w:t>
      </w:r>
      <w:r w:rsidR="003C7BBE" w:rsidRPr="003C7BBE">
        <w:rPr>
          <w:rFonts w:ascii="Arial" w:hAnsi="Arial" w:cs="Arial"/>
          <w:b/>
          <w:sz w:val="48"/>
          <w:szCs w:val="48"/>
          <w:lang w:val="es-MX"/>
        </w:rPr>
        <w:t>#</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OCHeading"/>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O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yperlink"/>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yperlink"/>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yperlink"/>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yperlink"/>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yperlink"/>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yperlink"/>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yperlink"/>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yperlink"/>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yperlink"/>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yperlink"/>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yperlink"/>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yperlink"/>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yperlink"/>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yperlink"/>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yperlink"/>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yperlink"/>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yperlink"/>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yperlink"/>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yperlink"/>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yperlink"/>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yperlink"/>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yperlink"/>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yperlink"/>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yperlink"/>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yperlink"/>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yperlink"/>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yperlink"/>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yperlink"/>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yperlink"/>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E74320">
          <w:pPr>
            <w:pStyle w:val="TO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yperlink"/>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Heading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767F2E04"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sidRPr="00D1232B">
        <w:rPr>
          <w:rFonts w:ascii="Arial" w:hAnsi="Arial" w:cs="Arial"/>
          <w:b/>
          <w:noProof/>
          <w:sz w:val="24"/>
          <w:szCs w:val="24"/>
        </w:rPr>
        <w:t xml:space="preserve">La </w:t>
      </w:r>
      <w:r w:rsidR="00D1232B" w:rsidRPr="00D1232B">
        <w:rPr>
          <w:rFonts w:ascii="Arial" w:hAnsi="Arial" w:cs="Arial"/>
          <w:b/>
          <w:noProof/>
          <w:sz w:val="24"/>
          <w:szCs w:val="24"/>
        </w:rPr>
        <w:t>Notaría Única de Aguadas</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2F568B96"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D1232B" w:rsidRPr="00D1232B">
        <w:rPr>
          <w:rFonts w:ascii="Arial" w:hAnsi="Arial" w:cs="Arial"/>
          <w:b/>
          <w:noProof/>
          <w:sz w:val="24"/>
          <w:szCs w:val="24"/>
        </w:rPr>
        <w:t xml:space="preserve">Notaría Única de </w:t>
      </w:r>
      <w:proofErr w:type="gramStart"/>
      <w:r w:rsidR="00D1232B" w:rsidRPr="00D1232B">
        <w:rPr>
          <w:rFonts w:ascii="Arial" w:hAnsi="Arial" w:cs="Arial"/>
          <w:b/>
          <w:noProof/>
          <w:sz w:val="24"/>
          <w:szCs w:val="24"/>
        </w:rPr>
        <w:t>Aguadas</w:t>
      </w:r>
      <w:r w:rsidR="00D1232B" w:rsidRPr="00D1232B">
        <w:rPr>
          <w:rFonts w:ascii="Arial" w:hAnsi="Arial" w:cs="Arial"/>
          <w:b/>
          <w:noProof/>
          <w:sz w:val="24"/>
          <w:szCs w:val="24"/>
        </w:rPr>
        <w:t xml:space="preserve"> </w:t>
      </w:r>
      <w:r w:rsidR="00256138">
        <w:rPr>
          <w:rFonts w:ascii="Arial" w:hAnsi="Arial" w:cs="Arial"/>
          <w:sz w:val="24"/>
          <w:szCs w:val="24"/>
          <w:lang w:val="es-CO"/>
        </w:rPr>
        <w:t>,</w:t>
      </w:r>
      <w:proofErr w:type="gramEnd"/>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D1232B" w:rsidRPr="00D1232B">
        <w:rPr>
          <w:rFonts w:ascii="Arial" w:hAnsi="Arial" w:cs="Arial"/>
          <w:b/>
          <w:noProof/>
          <w:sz w:val="24"/>
          <w:szCs w:val="24"/>
        </w:rPr>
        <w:t>Notaría Única de Aguadas</w:t>
      </w:r>
      <w:r w:rsidR="00D1232B">
        <w:rPr>
          <w:rFonts w:ascii="Arial" w:hAnsi="Arial" w:cs="Arial"/>
          <w:b/>
          <w:noProof/>
          <w:sz w:val="24"/>
          <w:szCs w:val="24"/>
        </w:rPr>
        <w:t>,</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Heading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3DCBE344"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D1232B" w:rsidRPr="00D1232B">
        <w:rPr>
          <w:rFonts w:ascii="Arial" w:hAnsi="Arial" w:cs="Arial"/>
          <w:b/>
          <w:noProof/>
          <w:sz w:val="24"/>
          <w:szCs w:val="24"/>
        </w:rPr>
        <w:t>Notaría Única de Aguadas</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ListParagraph"/>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Heading1"/>
        <w:numPr>
          <w:ilvl w:val="0"/>
          <w:numId w:val="0"/>
        </w:numPr>
        <w:ind w:left="720"/>
        <w:jc w:val="center"/>
      </w:pPr>
    </w:p>
    <w:p w14:paraId="1685EDF7" w14:textId="33BA5427" w:rsidR="005C7A21" w:rsidRDefault="00D06859" w:rsidP="00F42AE4">
      <w:pPr>
        <w:pStyle w:val="Heading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09D1A8B5"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D1232B" w:rsidRPr="00D1232B">
        <w:rPr>
          <w:rFonts w:ascii="Arial" w:hAnsi="Arial" w:cs="Arial"/>
          <w:b/>
          <w:noProof/>
          <w:sz w:val="24"/>
          <w:szCs w:val="24"/>
        </w:rPr>
        <w:t>Notaría Única de Aguadas</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Heading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ListParagraph"/>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Heading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Heading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28374778"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D1232B" w:rsidRPr="00D1232B">
        <w:rPr>
          <w:rFonts w:ascii="Arial" w:hAnsi="Arial" w:cs="Arial"/>
          <w:b/>
          <w:noProof/>
          <w:sz w:val="24"/>
          <w:szCs w:val="24"/>
        </w:rPr>
        <w:t>Notaría Única de Aguadas</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Heading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Heading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41B1416A"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D1232B" w:rsidRPr="00D1232B">
        <w:rPr>
          <w:rFonts w:ascii="Arial" w:hAnsi="Arial" w:cs="Arial"/>
          <w:b/>
          <w:noProof/>
          <w:sz w:val="24"/>
          <w:szCs w:val="24"/>
        </w:rPr>
        <w:t>Notaría Única de Aguadas</w:t>
      </w:r>
      <w:r w:rsidR="004C16ED" w:rsidRPr="00D06859">
        <w:rPr>
          <w:rFonts w:ascii="Arial" w:hAnsi="Arial" w:cs="Arial"/>
          <w:sz w:val="24"/>
          <w:szCs w:val="24"/>
        </w:rPr>
        <w:t>.</w:t>
      </w:r>
    </w:p>
    <w:p w14:paraId="56A970FA" w14:textId="51A10767" w:rsidR="00B21899" w:rsidRDefault="00B21899" w:rsidP="00F42AE4">
      <w:pPr>
        <w:pStyle w:val="Heading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Heading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4C420BC2"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D1232B" w:rsidRPr="00D1232B">
        <w:rPr>
          <w:rFonts w:ascii="Arial" w:hAnsi="Arial" w:cs="Arial"/>
          <w:b/>
          <w:noProof/>
          <w:sz w:val="24"/>
          <w:szCs w:val="24"/>
        </w:rPr>
        <w:t>Notaría Única de Aguadas</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Heading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2BFAA4B0"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D1232B" w:rsidRPr="00D1232B">
        <w:rPr>
          <w:rFonts w:ascii="Arial" w:hAnsi="Arial" w:cs="Arial"/>
          <w:b/>
          <w:noProof/>
          <w:sz w:val="24"/>
          <w:szCs w:val="24"/>
        </w:rPr>
        <w:t>Notaría Única de Aguadas</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Heading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4AE29781"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D1232B" w:rsidRPr="00D1232B">
        <w:rPr>
          <w:rFonts w:ascii="Arial" w:hAnsi="Arial" w:cs="Arial"/>
          <w:b/>
          <w:noProof/>
          <w:sz w:val="24"/>
          <w:szCs w:val="24"/>
        </w:rPr>
        <w:t>Notaría Única de Aguadas</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w:t>
      </w:r>
      <w:r w:rsidR="00B21899" w:rsidRPr="00D06859">
        <w:rPr>
          <w:rFonts w:ascii="Arial" w:hAnsi="Arial" w:cs="Arial"/>
          <w:sz w:val="24"/>
          <w:szCs w:val="24"/>
        </w:rPr>
        <w:lastRenderedPageBreak/>
        <w:t xml:space="preserve">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D1232B" w:rsidRPr="00D1232B">
        <w:rPr>
          <w:rFonts w:ascii="Arial" w:hAnsi="Arial" w:cs="Arial"/>
          <w:b/>
          <w:noProof/>
          <w:sz w:val="24"/>
          <w:szCs w:val="24"/>
        </w:rPr>
        <w:t>Notaría Única de Aguadas</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Heading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50E5312D"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D1232B" w:rsidRPr="00D1232B">
        <w:rPr>
          <w:rFonts w:ascii="Arial" w:hAnsi="Arial" w:cs="Arial"/>
          <w:b/>
          <w:noProof/>
          <w:sz w:val="24"/>
          <w:szCs w:val="24"/>
        </w:rPr>
        <w:t>Notaría Única de Aguadas</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D1232B" w:rsidRPr="00D1232B">
        <w:rPr>
          <w:rFonts w:ascii="Arial" w:hAnsi="Arial" w:cs="Arial"/>
          <w:b/>
          <w:noProof/>
          <w:sz w:val="24"/>
          <w:szCs w:val="24"/>
        </w:rPr>
        <w:t>Notaría Única de Aguadas</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6B1EE9EE"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D1232B" w:rsidRPr="00D1232B">
        <w:rPr>
          <w:rFonts w:ascii="Arial" w:hAnsi="Arial" w:cs="Arial"/>
          <w:b/>
          <w:noProof/>
          <w:sz w:val="24"/>
          <w:szCs w:val="24"/>
        </w:rPr>
        <w:t>Notaría Única de Aguadas</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Heading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24BB7A39"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D1232B" w:rsidRPr="00D1232B">
        <w:rPr>
          <w:rFonts w:ascii="Arial" w:hAnsi="Arial" w:cs="Arial"/>
          <w:b/>
          <w:noProof/>
          <w:sz w:val="24"/>
          <w:szCs w:val="24"/>
        </w:rPr>
        <w:t>Notaría Única de Aguadas</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Heading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Heading1"/>
        <w:numPr>
          <w:ilvl w:val="0"/>
          <w:numId w:val="0"/>
        </w:numPr>
        <w:ind w:left="720"/>
      </w:pPr>
      <w:bookmarkStart w:id="17" w:name="_Toc54652473"/>
      <w:r w:rsidRPr="00F42AE4">
        <w:lastRenderedPageBreak/>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Heading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Heading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5D27AAE3"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D1232B" w:rsidRPr="00D1232B">
        <w:rPr>
          <w:rFonts w:ascii="Arial" w:hAnsi="Arial" w:cs="Arial"/>
          <w:b/>
          <w:noProof/>
          <w:sz w:val="24"/>
          <w:szCs w:val="24"/>
        </w:rPr>
        <w:t>Notaría Única de Aguadas</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Heading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Heading1"/>
        <w:numPr>
          <w:ilvl w:val="0"/>
          <w:numId w:val="0"/>
        </w:numPr>
        <w:ind w:left="720"/>
        <w:jc w:val="center"/>
        <w:rPr>
          <w:bCs/>
        </w:rPr>
      </w:pPr>
      <w:r w:rsidRPr="00D06859">
        <w:rPr>
          <w:b w:val="0"/>
          <w:bCs/>
        </w:rPr>
        <w:t xml:space="preserve"> </w:t>
      </w:r>
      <w:r w:rsidR="00292961" w:rsidRPr="00D06859">
        <w:tab/>
      </w:r>
    </w:p>
    <w:p w14:paraId="6FDAC533" w14:textId="4DD25354"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D1232B" w:rsidRPr="00D1232B">
        <w:rPr>
          <w:rFonts w:ascii="Arial" w:hAnsi="Arial" w:cs="Arial"/>
          <w:b/>
          <w:noProof/>
          <w:sz w:val="24"/>
          <w:szCs w:val="24"/>
        </w:rPr>
        <w:t>Notaría Única de Aguadas</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D1232B" w:rsidRPr="00D1232B">
        <w:rPr>
          <w:rFonts w:ascii="Arial" w:hAnsi="Arial" w:cs="Arial"/>
          <w:b/>
          <w:noProof/>
          <w:sz w:val="24"/>
          <w:szCs w:val="24"/>
        </w:rPr>
        <w:t>Notaría Única de Aguadas</w:t>
      </w:r>
      <w:r w:rsidR="00A644C0" w:rsidRPr="00D06859">
        <w:rPr>
          <w:rFonts w:ascii="Arial" w:hAnsi="Arial" w:cs="Arial"/>
          <w:sz w:val="24"/>
          <w:szCs w:val="24"/>
        </w:rPr>
        <w:t xml:space="preserve">, para los fines descritos en el presente </w:t>
      </w:r>
      <w:r w:rsidR="00A644C0" w:rsidRPr="00D06859">
        <w:rPr>
          <w:rFonts w:ascii="Arial" w:hAnsi="Arial" w:cs="Arial"/>
          <w:sz w:val="24"/>
          <w:szCs w:val="24"/>
        </w:rPr>
        <w:lastRenderedPageBreak/>
        <w:t>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Heading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28DB43B1"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D1232B" w:rsidRPr="00D1232B">
        <w:rPr>
          <w:rFonts w:ascii="Arial" w:hAnsi="Arial" w:cs="Arial"/>
          <w:b/>
          <w:noProof/>
          <w:sz w:val="24"/>
          <w:szCs w:val="24"/>
        </w:rPr>
        <w:t>Notaría Única de Aguadas</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D1232B" w:rsidRPr="00D1232B">
        <w:rPr>
          <w:rFonts w:ascii="Arial" w:hAnsi="Arial" w:cs="Arial"/>
          <w:b/>
          <w:noProof/>
          <w:sz w:val="24"/>
          <w:szCs w:val="24"/>
        </w:rPr>
        <w:t>Notaría Única de Aguadas</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Heading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ListParagraph"/>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ListParagraph"/>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ListParagraph"/>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ListParagraph"/>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Heading1"/>
        <w:numPr>
          <w:ilvl w:val="0"/>
          <w:numId w:val="0"/>
        </w:numPr>
        <w:ind w:left="720"/>
        <w:jc w:val="center"/>
      </w:pPr>
      <w:bookmarkStart w:id="23" w:name="_Toc54652479"/>
      <w:r w:rsidRPr="00F42AE4">
        <w:lastRenderedPageBreak/>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Heading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Heading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2DDA6F24"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D1232B" w:rsidRPr="00D1232B">
        <w:rPr>
          <w:rFonts w:ascii="Arial" w:hAnsi="Arial" w:cs="Arial"/>
          <w:b/>
          <w:bCs/>
          <w:sz w:val="24"/>
          <w:szCs w:val="24"/>
        </w:rPr>
        <w:t>Notaría Única de Aguadas</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Heading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07DACD0A"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D1232B" w:rsidRPr="00D1232B">
        <w:rPr>
          <w:rFonts w:ascii="Arial" w:hAnsi="Arial" w:cs="Arial"/>
          <w:b/>
          <w:bCs/>
          <w:sz w:val="24"/>
          <w:szCs w:val="24"/>
        </w:rPr>
        <w:t>Notaría Única de Aguadas</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w:t>
      </w:r>
      <w:r w:rsidR="000B5F71" w:rsidRPr="00D06859">
        <w:rPr>
          <w:rFonts w:ascii="Arial" w:hAnsi="Arial" w:cs="Arial"/>
          <w:sz w:val="24"/>
          <w:szCs w:val="24"/>
        </w:rPr>
        <w:lastRenderedPageBreak/>
        <w:t>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por cuenta del responsable, no requerirán ser informadas al Titular ni contar con su </w:t>
      </w:r>
      <w:r w:rsidRPr="00D06859">
        <w:rPr>
          <w:rFonts w:ascii="Arial" w:hAnsi="Arial" w:cs="Arial"/>
          <w:sz w:val="24"/>
          <w:szCs w:val="24"/>
        </w:rPr>
        <w:lastRenderedPageBreak/>
        <w:t>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Heading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3B3F38D8"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D1232B" w:rsidRPr="00D1232B">
        <w:rPr>
          <w:rFonts w:ascii="Arial" w:hAnsi="Arial" w:cs="Arial"/>
          <w:b/>
          <w:bCs/>
          <w:sz w:val="24"/>
          <w:szCs w:val="24"/>
        </w:rPr>
        <w:t>Notaría Única de Aguadas</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D1232B" w:rsidRPr="00D1232B">
        <w:rPr>
          <w:rFonts w:ascii="Arial" w:hAnsi="Arial" w:cs="Arial"/>
          <w:b/>
          <w:bCs/>
          <w:sz w:val="24"/>
          <w:szCs w:val="24"/>
        </w:rPr>
        <w:t>Notaría Única de Aguadas</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D1232B" w:rsidRPr="00D1232B">
        <w:rPr>
          <w:rFonts w:ascii="Arial" w:hAnsi="Arial" w:cs="Arial"/>
          <w:b/>
          <w:bCs/>
          <w:sz w:val="24"/>
          <w:szCs w:val="24"/>
        </w:rPr>
        <w:t>Notaría Única de Aguadas</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w:t>
      </w:r>
      <w:r w:rsidRPr="00F175AF">
        <w:rPr>
          <w:rFonts w:ascii="Arial" w:hAnsi="Arial" w:cs="Arial"/>
          <w:sz w:val="24"/>
          <w:szCs w:val="24"/>
        </w:rPr>
        <w:lastRenderedPageBreak/>
        <w:t xml:space="preserve">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Heading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648E11F7"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D1232B" w:rsidRPr="00D1232B">
        <w:rPr>
          <w:rFonts w:ascii="Arial" w:hAnsi="Arial" w:cs="Arial"/>
          <w:b/>
          <w:bCs/>
          <w:sz w:val="24"/>
          <w:szCs w:val="24"/>
        </w:rPr>
        <w:t>Notaría Única de Aguadas</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100E47D6"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D1232B" w:rsidRPr="00D1232B">
        <w:rPr>
          <w:rFonts w:ascii="Arial" w:hAnsi="Arial" w:cs="Arial"/>
          <w:b/>
          <w:bCs/>
          <w:sz w:val="24"/>
          <w:szCs w:val="24"/>
        </w:rPr>
        <w:t>Notaría Única de Aguadas</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47278F81"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D1232B" w:rsidRPr="00D1232B">
        <w:rPr>
          <w:rFonts w:ascii="Arial" w:hAnsi="Arial" w:cs="Arial"/>
          <w:b/>
          <w:bCs/>
          <w:sz w:val="24"/>
          <w:szCs w:val="24"/>
        </w:rPr>
        <w:t>Notaría Única de Aguadas</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Heading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19E3E998"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D1232B" w:rsidRPr="00D1232B">
        <w:rPr>
          <w:rFonts w:ascii="Arial" w:hAnsi="Arial" w:cs="Arial"/>
          <w:b/>
          <w:bCs/>
          <w:sz w:val="24"/>
          <w:szCs w:val="24"/>
        </w:rPr>
        <w:t>Notaría Única de Aguadas</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D1232B" w:rsidRPr="00D1232B">
        <w:rPr>
          <w:rFonts w:ascii="Arial" w:hAnsi="Arial" w:cs="Arial"/>
          <w:b/>
          <w:bCs/>
          <w:sz w:val="24"/>
          <w:szCs w:val="24"/>
        </w:rPr>
        <w:t>Notaría Única de Aguadas</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w:t>
      </w:r>
      <w:r>
        <w:rPr>
          <w:rFonts w:ascii="Arial" w:hAnsi="Arial" w:cs="Arial"/>
          <w:sz w:val="24"/>
          <w:szCs w:val="24"/>
          <w:lang w:val="es-CO"/>
        </w:rPr>
        <w:lastRenderedPageBreak/>
        <w:t xml:space="preserve">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Heading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18758167"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D1232B" w:rsidRPr="00D1232B">
        <w:rPr>
          <w:rFonts w:ascii="Arial" w:hAnsi="Arial" w:cs="Arial"/>
          <w:b/>
          <w:bCs/>
          <w:sz w:val="24"/>
          <w:szCs w:val="24"/>
        </w:rPr>
        <w:t>Notaría Única de Aguadas</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Heading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6DA05ABD"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D1232B" w:rsidRPr="00D1232B">
        <w:rPr>
          <w:rFonts w:ascii="Arial" w:hAnsi="Arial" w:cs="Arial"/>
          <w:b/>
          <w:bCs/>
          <w:sz w:val="24"/>
          <w:szCs w:val="24"/>
        </w:rPr>
        <w:t>Notaría Única de Aguadas</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D1232B" w:rsidRPr="00D1232B">
        <w:rPr>
          <w:rFonts w:ascii="Arial" w:hAnsi="Arial" w:cs="Arial"/>
          <w:b/>
          <w:bCs/>
          <w:sz w:val="24"/>
          <w:szCs w:val="24"/>
        </w:rPr>
        <w:t>Notaría Única de Aguadas</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4A945" w14:textId="77777777" w:rsidR="00E74320" w:rsidRDefault="00E74320" w:rsidP="00281C88">
      <w:pPr>
        <w:spacing w:after="0" w:line="240" w:lineRule="auto"/>
      </w:pPr>
      <w:r>
        <w:separator/>
      </w:r>
    </w:p>
  </w:endnote>
  <w:endnote w:type="continuationSeparator" w:id="0">
    <w:p w14:paraId="4AA15368" w14:textId="77777777" w:rsidR="00E74320" w:rsidRDefault="00E74320"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yperlink"/>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yperlink"/>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Footer"/>
    </w:pPr>
    <w:r w:rsidRPr="002249DF">
      <w:rPr>
        <w:rStyle w:val="Hyperlink"/>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CCA93" w14:textId="77777777" w:rsidR="00E74320" w:rsidRDefault="00E74320" w:rsidP="00281C88">
      <w:pPr>
        <w:spacing w:after="0" w:line="240" w:lineRule="auto"/>
      </w:pPr>
      <w:r>
        <w:separator/>
      </w:r>
    </w:p>
  </w:footnote>
  <w:footnote w:type="continuationSeparator" w:id="0">
    <w:p w14:paraId="390E81CB" w14:textId="77777777" w:rsidR="00E74320" w:rsidRDefault="00E74320"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Header"/>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Header"/>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Heading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E7DF4"/>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232B"/>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4320"/>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Heading1">
    <w:name w:val="heading 1"/>
    <w:basedOn w:val="ListParagraph"/>
    <w:next w:val="Normal"/>
    <w:link w:val="Heading1Ch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Heading2">
    <w:name w:val="heading 2"/>
    <w:basedOn w:val="Normal"/>
    <w:next w:val="Normal"/>
    <w:link w:val="Heading2Ch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A78C1"/>
    <w:pPr>
      <w:tabs>
        <w:tab w:val="center" w:pos="4252"/>
        <w:tab w:val="right" w:pos="8504"/>
      </w:tabs>
      <w:spacing w:after="0" w:line="240" w:lineRule="auto"/>
    </w:pPr>
  </w:style>
  <w:style w:type="character" w:customStyle="1" w:styleId="HeaderChar">
    <w:name w:val="Header Char"/>
    <w:basedOn w:val="DefaultParagraphFont"/>
    <w:link w:val="Header"/>
    <w:rsid w:val="00CA78C1"/>
    <w:rPr>
      <w:lang w:val="es-ES"/>
    </w:rPr>
  </w:style>
  <w:style w:type="paragraph" w:styleId="ListParagraph">
    <w:name w:val="List Paragraph"/>
    <w:basedOn w:val="Normal"/>
    <w:uiPriority w:val="34"/>
    <w:qFormat/>
    <w:rsid w:val="00CA78C1"/>
    <w:pPr>
      <w:ind w:left="720"/>
      <w:contextualSpacing/>
    </w:pPr>
  </w:style>
  <w:style w:type="table" w:styleId="TableGrid">
    <w:name w:val="Table Grid"/>
    <w:basedOn w:val="Table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CA78C1"/>
    <w:pPr>
      <w:tabs>
        <w:tab w:val="center" w:pos="4419"/>
        <w:tab w:val="right" w:pos="8838"/>
      </w:tabs>
      <w:spacing w:after="0" w:line="240" w:lineRule="auto"/>
    </w:pPr>
  </w:style>
  <w:style w:type="character" w:customStyle="1" w:styleId="FooterChar">
    <w:name w:val="Footer Char"/>
    <w:basedOn w:val="DefaultParagraphFont"/>
    <w:link w:val="Footer"/>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DefaultParagraphFont"/>
    <w:link w:val="Ttulos"/>
    <w:rsid w:val="00CA78C1"/>
    <w:rPr>
      <w:rFonts w:cs="Times New Roman"/>
      <w:color w:val="222A35" w:themeColor="text2" w:themeShade="80"/>
      <w:sz w:val="72"/>
      <w:szCs w:val="72"/>
      <w:lang w:val="es-ES"/>
    </w:rPr>
  </w:style>
  <w:style w:type="character" w:styleId="Hyperlink">
    <w:name w:val="Hyperlink"/>
    <w:basedOn w:val="DefaultParagraphFont"/>
    <w:uiPriority w:val="99"/>
    <w:unhideWhenUsed/>
    <w:rsid w:val="008E2610"/>
    <w:rPr>
      <w:color w:val="0563C1" w:themeColor="hyperlink"/>
      <w:u w:val="single"/>
    </w:rPr>
  </w:style>
  <w:style w:type="paragraph" w:styleId="BalloonText">
    <w:name w:val="Balloon Text"/>
    <w:basedOn w:val="Normal"/>
    <w:link w:val="BalloonTextChar"/>
    <w:uiPriority w:val="99"/>
    <w:semiHidden/>
    <w:unhideWhenUsed/>
    <w:rsid w:val="00277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AB7"/>
    <w:rPr>
      <w:rFonts w:ascii="Tahoma" w:hAnsi="Tahoma" w:cs="Tahoma"/>
      <w:sz w:val="16"/>
      <w:szCs w:val="16"/>
      <w:lang w:val="es-ES"/>
    </w:rPr>
  </w:style>
  <w:style w:type="character" w:customStyle="1" w:styleId="Heading1Char">
    <w:name w:val="Heading 1 Char"/>
    <w:basedOn w:val="DefaultParagraphFont"/>
    <w:link w:val="Heading1"/>
    <w:uiPriority w:val="9"/>
    <w:rsid w:val="00397E28"/>
    <w:rPr>
      <w:rFonts w:ascii="Arial" w:hAnsi="Arial" w:cs="Arial"/>
      <w:b/>
      <w:sz w:val="24"/>
      <w:szCs w:val="24"/>
      <w:lang w:val="es-CO"/>
    </w:rPr>
  </w:style>
  <w:style w:type="character" w:customStyle="1" w:styleId="Mencinsinresolver1">
    <w:name w:val="Mención sin resolver1"/>
    <w:basedOn w:val="DefaultParagraphFont"/>
    <w:uiPriority w:val="99"/>
    <w:semiHidden/>
    <w:unhideWhenUsed/>
    <w:rsid w:val="009D5A1E"/>
    <w:rPr>
      <w:color w:val="605E5C"/>
      <w:shd w:val="clear" w:color="auto" w:fill="E1DFDD"/>
    </w:rPr>
  </w:style>
  <w:style w:type="character" w:customStyle="1" w:styleId="Heading2Char">
    <w:name w:val="Heading 2 Char"/>
    <w:basedOn w:val="DefaultParagraphFont"/>
    <w:link w:val="Heading2"/>
    <w:uiPriority w:val="9"/>
    <w:rsid w:val="00342B08"/>
    <w:rPr>
      <w:rFonts w:asciiTheme="majorHAnsi" w:eastAsiaTheme="majorEastAsia" w:hAnsiTheme="majorHAnsi" w:cstheme="majorBidi"/>
      <w:color w:val="2E74B5" w:themeColor="accent1" w:themeShade="BF"/>
      <w:sz w:val="26"/>
      <w:szCs w:val="26"/>
      <w:lang w:val="es-ES"/>
    </w:rPr>
  </w:style>
  <w:style w:type="paragraph" w:styleId="TOCHeading">
    <w:name w:val="TOC Heading"/>
    <w:basedOn w:val="Heading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OC1">
    <w:name w:val="toc 1"/>
    <w:basedOn w:val="Normal"/>
    <w:next w:val="Normal"/>
    <w:autoRedefine/>
    <w:uiPriority w:val="39"/>
    <w:unhideWhenUsed/>
    <w:rsid w:val="00342DE8"/>
    <w:pPr>
      <w:spacing w:after="100"/>
    </w:pPr>
  </w:style>
  <w:style w:type="paragraph" w:styleId="TOC2">
    <w:name w:val="toc 2"/>
    <w:basedOn w:val="Normal"/>
    <w:next w:val="Normal"/>
    <w:autoRedefine/>
    <w:uiPriority w:val="39"/>
    <w:unhideWhenUsed/>
    <w:rsid w:val="00342DE8"/>
    <w:pPr>
      <w:spacing w:after="100"/>
      <w:ind w:left="220"/>
    </w:pPr>
  </w:style>
  <w:style w:type="character" w:styleId="UnresolvedMention">
    <w:name w:val="Unresolved Mention"/>
    <w:basedOn w:val="DefaultParagraphFont"/>
    <w:uiPriority w:val="99"/>
    <w:semiHidden/>
    <w:unhideWhenUsed/>
    <w:rsid w:val="00AF2C92"/>
    <w:rPr>
      <w:color w:val="605E5C"/>
      <w:shd w:val="clear" w:color="auto" w:fill="E1DFDD"/>
    </w:rPr>
  </w:style>
  <w:style w:type="character" w:styleId="CommentReference">
    <w:name w:val="annotation reference"/>
    <w:basedOn w:val="DefaultParagraphFont"/>
    <w:uiPriority w:val="99"/>
    <w:semiHidden/>
    <w:unhideWhenUsed/>
    <w:rsid w:val="00042119"/>
    <w:rPr>
      <w:sz w:val="16"/>
      <w:szCs w:val="16"/>
    </w:rPr>
  </w:style>
  <w:style w:type="paragraph" w:styleId="CommentText">
    <w:name w:val="annotation text"/>
    <w:basedOn w:val="Normal"/>
    <w:link w:val="CommentTextChar"/>
    <w:uiPriority w:val="99"/>
    <w:semiHidden/>
    <w:unhideWhenUsed/>
    <w:rsid w:val="00042119"/>
    <w:pPr>
      <w:spacing w:line="240" w:lineRule="auto"/>
    </w:pPr>
    <w:rPr>
      <w:sz w:val="20"/>
      <w:szCs w:val="20"/>
    </w:rPr>
  </w:style>
  <w:style w:type="character" w:customStyle="1" w:styleId="CommentTextChar">
    <w:name w:val="Comment Text Char"/>
    <w:basedOn w:val="DefaultParagraphFont"/>
    <w:link w:val="CommentText"/>
    <w:uiPriority w:val="99"/>
    <w:semiHidden/>
    <w:rsid w:val="00042119"/>
    <w:rPr>
      <w:sz w:val="20"/>
      <w:szCs w:val="20"/>
      <w:lang w:val="es-ES"/>
    </w:rPr>
  </w:style>
  <w:style w:type="paragraph" w:styleId="CommentSubject">
    <w:name w:val="annotation subject"/>
    <w:basedOn w:val="CommentText"/>
    <w:next w:val="CommentText"/>
    <w:link w:val="CommentSubjectChar"/>
    <w:uiPriority w:val="99"/>
    <w:semiHidden/>
    <w:unhideWhenUsed/>
    <w:rsid w:val="00042119"/>
    <w:rPr>
      <w:b/>
      <w:bCs/>
    </w:rPr>
  </w:style>
  <w:style w:type="character" w:customStyle="1" w:styleId="CommentSubjectChar">
    <w:name w:val="Comment Subject Char"/>
    <w:basedOn w:val="CommentTextChar"/>
    <w:link w:val="CommentSubject"/>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3586</Words>
  <Characters>20446</Characters>
  <Application>Microsoft Office Word</Application>
  <DocSecurity>0</DocSecurity>
  <Lines>170</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Luis Amaya</Manager>
  <Company>ADH GROUPS COLOMBIA</Company>
  <LinksUpToDate>false</LinksUpToDate>
  <CharactersWithSpaces>23985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Microsoft Office User</cp:lastModifiedBy>
  <cp:revision>2</cp:revision>
  <cp:lastPrinted>2020-10-29T17:40:00Z</cp:lastPrinted>
  <dcterms:created xsi:type="dcterms:W3CDTF">2024-07-24T23:48:00Z</dcterms:created>
  <dcterms:modified xsi:type="dcterms:W3CDTF">2024-07-24T23:48:00Z</dcterms:modified>
</cp:coreProperties>
</file>